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EA7AE" w14:textId="77777777" w:rsidR="00D26AD8" w:rsidRPr="00A0678A" w:rsidRDefault="00D26AD8" w:rsidP="00A0678A">
      <w:pPr>
        <w:spacing w:after="0"/>
        <w:ind w:left="-284"/>
        <w:contextualSpacing/>
        <w:rPr>
          <w:rFonts w:eastAsia="Times New Roman" w:cstheme="minorHAnsi"/>
          <w:b/>
          <w:bCs/>
          <w:color w:val="92D050"/>
          <w:sz w:val="24"/>
          <w:szCs w:val="24"/>
        </w:rPr>
      </w:pPr>
      <w:r w:rsidRPr="00A0678A">
        <w:rPr>
          <w:rFonts w:eastAsia="Times New Roman" w:cstheme="minorHAnsi"/>
          <w:b/>
          <w:bCs/>
          <w:color w:val="92D050"/>
          <w:sz w:val="24"/>
          <w:szCs w:val="24"/>
        </w:rPr>
        <w:t>Statement of the Roles and Responsibilities for Trustees</w:t>
      </w:r>
    </w:p>
    <w:p w14:paraId="4B437489" w14:textId="77777777" w:rsidR="00D26AD8" w:rsidRPr="00A0678A" w:rsidRDefault="00A0678A" w:rsidP="00A0678A">
      <w:pPr>
        <w:keepNext/>
        <w:spacing w:after="0"/>
        <w:ind w:left="-284" w:right="120"/>
        <w:contextualSpacing/>
        <w:outlineLvl w:val="0"/>
        <w:rPr>
          <w:rFonts w:eastAsia="Calibri" w:cstheme="minorHAnsi"/>
          <w:sz w:val="24"/>
          <w:szCs w:val="24"/>
        </w:rPr>
      </w:pPr>
      <w:r w:rsidRPr="00A0678A">
        <w:rPr>
          <w:rFonts w:eastAsia="Calibri" w:cstheme="minorHAnsi"/>
          <w:color w:val="06126A"/>
          <w:sz w:val="24"/>
          <w:szCs w:val="24"/>
        </w:rPr>
        <w:pict w14:anchorId="209FF009">
          <v:rect id="_x0000_i1025" style="width:0;height:1.5pt" o:hrstd="t" o:hr="t" fillcolor="#a0a0a0" stroked="f">
            <v:imagedata r:id="rId7" o:title=""/>
          </v:rect>
        </w:pict>
      </w:r>
    </w:p>
    <w:p w14:paraId="75DA79B1" w14:textId="77777777" w:rsidR="00D26AD8" w:rsidRPr="00A0678A" w:rsidRDefault="00D26AD8" w:rsidP="00A0678A">
      <w:pPr>
        <w:spacing w:after="0"/>
        <w:ind w:left="-284" w:right="120"/>
        <w:contextualSpacing/>
        <w:rPr>
          <w:rFonts w:eastAsia="Times New Roman" w:cstheme="minorHAnsi"/>
          <w:sz w:val="24"/>
          <w:szCs w:val="24"/>
        </w:rPr>
      </w:pPr>
      <w:r w:rsidRPr="00A0678A">
        <w:rPr>
          <w:rFonts w:eastAsia="Times New Roman" w:cstheme="minorHAnsi"/>
          <w:sz w:val="24"/>
          <w:szCs w:val="24"/>
        </w:rPr>
        <w:t xml:space="preserve">Trustees of A Way Out will be appointed through the procedures set out in the governing document and will serve for a period of 3 years and may be re-appointed to serve as a Trustee for a further 3 years before standing down (however where appropriate the requirement to stand down may be put aside) . </w:t>
      </w:r>
      <w:bookmarkStart w:id="0" w:name="_GoBack"/>
      <w:bookmarkEnd w:id="0"/>
    </w:p>
    <w:p w14:paraId="597B77E8" w14:textId="77777777" w:rsidR="00D26AD8" w:rsidRPr="00A0678A" w:rsidRDefault="00D26AD8" w:rsidP="00A0678A">
      <w:pPr>
        <w:spacing w:after="0"/>
        <w:ind w:left="-284" w:right="120"/>
        <w:contextualSpacing/>
        <w:rPr>
          <w:rFonts w:eastAsia="Times New Roman" w:cstheme="minorHAnsi"/>
          <w:sz w:val="24"/>
          <w:szCs w:val="24"/>
        </w:rPr>
      </w:pPr>
    </w:p>
    <w:p w14:paraId="70B3DBD1" w14:textId="77777777" w:rsidR="00D26AD8" w:rsidRPr="00A0678A" w:rsidRDefault="00D26AD8" w:rsidP="00A0678A">
      <w:pPr>
        <w:spacing w:after="0"/>
        <w:ind w:left="-284" w:right="120"/>
        <w:contextualSpacing/>
        <w:rPr>
          <w:rFonts w:eastAsia="Times New Roman" w:cstheme="minorHAnsi"/>
          <w:sz w:val="24"/>
          <w:szCs w:val="24"/>
        </w:rPr>
      </w:pPr>
      <w:r w:rsidRPr="00A0678A">
        <w:rPr>
          <w:rFonts w:eastAsia="Times New Roman" w:cstheme="minorHAnsi"/>
          <w:sz w:val="24"/>
          <w:szCs w:val="24"/>
        </w:rPr>
        <w:t>All of those serving on the board must become Trustees of the Charity and members of the Company during the time they are members of the Board.</w:t>
      </w:r>
    </w:p>
    <w:p w14:paraId="3F04C747" w14:textId="77777777" w:rsidR="0072043A" w:rsidRPr="00A0678A" w:rsidRDefault="0072043A" w:rsidP="00A0678A">
      <w:pPr>
        <w:spacing w:after="0"/>
        <w:ind w:left="-284" w:right="120"/>
        <w:contextualSpacing/>
        <w:rPr>
          <w:rFonts w:eastAsia="Times New Roman" w:cstheme="minorHAnsi"/>
          <w:sz w:val="24"/>
          <w:szCs w:val="24"/>
        </w:rPr>
      </w:pPr>
    </w:p>
    <w:p w14:paraId="355DCD6E" w14:textId="77777777" w:rsidR="0072043A" w:rsidRPr="00A0678A" w:rsidRDefault="0072043A" w:rsidP="00A0678A">
      <w:pPr>
        <w:pStyle w:val="ListParagraph"/>
        <w:numPr>
          <w:ilvl w:val="0"/>
          <w:numId w:val="7"/>
        </w:numPr>
        <w:spacing w:after="0"/>
        <w:ind w:right="120"/>
        <w:rPr>
          <w:rFonts w:eastAsia="Times New Roman" w:cstheme="minorHAnsi"/>
          <w:sz w:val="24"/>
          <w:szCs w:val="24"/>
        </w:rPr>
      </w:pPr>
      <w:r w:rsidRPr="00A0678A">
        <w:rPr>
          <w:rFonts w:eastAsia="Times New Roman" w:cstheme="minorHAnsi"/>
          <w:b/>
          <w:color w:val="92D050"/>
          <w:sz w:val="24"/>
          <w:szCs w:val="24"/>
        </w:rPr>
        <w:t xml:space="preserve">Overall Responsibilities: </w:t>
      </w:r>
    </w:p>
    <w:tbl>
      <w:tblPr>
        <w:tblStyle w:val="TableGrid"/>
        <w:tblW w:w="0" w:type="auto"/>
        <w:tblInd w:w="-284" w:type="dxa"/>
        <w:tblLook w:val="04A0" w:firstRow="1" w:lastRow="0" w:firstColumn="1" w:lastColumn="0" w:noHBand="0" w:noVBand="1"/>
      </w:tblPr>
      <w:tblGrid>
        <w:gridCol w:w="9975"/>
      </w:tblGrid>
      <w:tr w:rsidR="0072043A" w:rsidRPr="00A0678A" w14:paraId="660F2712" w14:textId="77777777" w:rsidTr="0072043A">
        <w:tc>
          <w:tcPr>
            <w:tcW w:w="9975" w:type="dxa"/>
            <w:shd w:val="clear" w:color="auto" w:fill="D6E3BC" w:themeFill="accent3" w:themeFillTint="66"/>
          </w:tcPr>
          <w:p w14:paraId="6A9EB83F" w14:textId="77777777" w:rsidR="0072043A" w:rsidRPr="00A0678A" w:rsidRDefault="0072043A" w:rsidP="00A0678A">
            <w:pPr>
              <w:spacing w:line="276" w:lineRule="auto"/>
              <w:ind w:right="120"/>
              <w:contextualSpacing/>
              <w:rPr>
                <w:rFonts w:eastAsia="Times New Roman" w:cstheme="minorHAnsi"/>
                <w:b/>
                <w:sz w:val="24"/>
                <w:szCs w:val="24"/>
              </w:rPr>
            </w:pPr>
            <w:r w:rsidRPr="00A0678A">
              <w:rPr>
                <w:rFonts w:eastAsia="Times New Roman" w:cstheme="minorHAnsi"/>
                <w:b/>
                <w:sz w:val="24"/>
                <w:szCs w:val="24"/>
              </w:rPr>
              <w:t>The duties of the Trustees:</w:t>
            </w:r>
          </w:p>
        </w:tc>
      </w:tr>
      <w:tr w:rsidR="0072043A" w:rsidRPr="00A0678A" w14:paraId="4D534DAB" w14:textId="77777777" w:rsidTr="0072043A">
        <w:tc>
          <w:tcPr>
            <w:tcW w:w="9975" w:type="dxa"/>
          </w:tcPr>
          <w:p w14:paraId="6E5AC3BD" w14:textId="77777777" w:rsidR="0072043A" w:rsidRPr="00A0678A" w:rsidRDefault="0072043A" w:rsidP="00A0678A">
            <w:pPr>
              <w:spacing w:line="276" w:lineRule="auto"/>
              <w:ind w:right="120"/>
              <w:contextualSpacing/>
              <w:rPr>
                <w:rFonts w:eastAsia="Times New Roman" w:cstheme="minorHAnsi"/>
                <w:sz w:val="24"/>
                <w:szCs w:val="24"/>
              </w:rPr>
            </w:pPr>
          </w:p>
          <w:p w14:paraId="2B142093" w14:textId="77777777" w:rsidR="0072043A" w:rsidRPr="00A0678A" w:rsidRDefault="0072043A" w:rsidP="00A0678A">
            <w:pPr>
              <w:pStyle w:val="ListParagraph"/>
              <w:numPr>
                <w:ilvl w:val="0"/>
                <w:numId w:val="5"/>
              </w:numPr>
              <w:spacing w:line="276" w:lineRule="auto"/>
              <w:ind w:right="120"/>
              <w:rPr>
                <w:rFonts w:eastAsia="Times New Roman" w:cstheme="minorHAnsi"/>
                <w:sz w:val="24"/>
                <w:szCs w:val="24"/>
              </w:rPr>
            </w:pPr>
            <w:r w:rsidRPr="00A0678A">
              <w:rPr>
                <w:rFonts w:eastAsia="Times New Roman" w:cstheme="minorHAnsi"/>
                <w:sz w:val="24"/>
                <w:szCs w:val="24"/>
              </w:rPr>
              <w:t xml:space="preserve">fulfil responsibilities as required by the current Charities Act, Companies Act and all other legislation </w:t>
            </w:r>
          </w:p>
          <w:p w14:paraId="3E326512" w14:textId="77777777" w:rsidR="0072043A" w:rsidRPr="00A0678A" w:rsidRDefault="0072043A" w:rsidP="00A0678A">
            <w:pPr>
              <w:spacing w:line="276" w:lineRule="auto"/>
              <w:ind w:right="120"/>
              <w:contextualSpacing/>
              <w:rPr>
                <w:rFonts w:eastAsia="Times New Roman" w:cstheme="minorHAnsi"/>
                <w:sz w:val="24"/>
                <w:szCs w:val="24"/>
              </w:rPr>
            </w:pPr>
          </w:p>
          <w:p w14:paraId="2E5C29D3" w14:textId="77777777" w:rsidR="0072043A" w:rsidRPr="00A0678A" w:rsidRDefault="0072043A" w:rsidP="00A0678A">
            <w:pPr>
              <w:pStyle w:val="ListParagraph"/>
              <w:numPr>
                <w:ilvl w:val="0"/>
                <w:numId w:val="5"/>
              </w:numPr>
              <w:spacing w:line="276" w:lineRule="auto"/>
              <w:ind w:right="120"/>
              <w:rPr>
                <w:rFonts w:eastAsia="Times New Roman" w:cstheme="minorHAnsi"/>
                <w:sz w:val="24"/>
                <w:szCs w:val="24"/>
              </w:rPr>
            </w:pPr>
            <w:r w:rsidRPr="00A0678A">
              <w:rPr>
                <w:rFonts w:eastAsia="Times New Roman" w:cstheme="minorHAnsi"/>
                <w:sz w:val="24"/>
                <w:szCs w:val="24"/>
              </w:rPr>
              <w:t>appoint the CEO ensuring that the person appointed to this role has the necessary skills and abilities and resources to fulfil the role, which would include leading the staff team;</w:t>
            </w:r>
          </w:p>
          <w:p w14:paraId="20BD45AB" w14:textId="77777777" w:rsidR="0072043A" w:rsidRPr="00A0678A" w:rsidRDefault="0072043A" w:rsidP="00A0678A">
            <w:pPr>
              <w:spacing w:line="276" w:lineRule="auto"/>
              <w:ind w:right="120"/>
              <w:contextualSpacing/>
              <w:rPr>
                <w:rFonts w:eastAsia="Times New Roman" w:cstheme="minorHAnsi"/>
                <w:sz w:val="24"/>
                <w:szCs w:val="24"/>
              </w:rPr>
            </w:pPr>
          </w:p>
          <w:p w14:paraId="18266593" w14:textId="77777777" w:rsidR="0072043A" w:rsidRPr="00A0678A" w:rsidRDefault="0072043A" w:rsidP="00A0678A">
            <w:pPr>
              <w:pStyle w:val="ListParagraph"/>
              <w:numPr>
                <w:ilvl w:val="0"/>
                <w:numId w:val="5"/>
              </w:numPr>
              <w:spacing w:line="276" w:lineRule="auto"/>
              <w:ind w:right="120"/>
              <w:rPr>
                <w:rFonts w:eastAsia="Times New Roman" w:cstheme="minorHAnsi"/>
                <w:sz w:val="24"/>
                <w:szCs w:val="24"/>
              </w:rPr>
            </w:pPr>
            <w:r w:rsidRPr="00A0678A">
              <w:rPr>
                <w:rFonts w:eastAsia="Times New Roman" w:cstheme="minorHAnsi"/>
                <w:sz w:val="24"/>
                <w:szCs w:val="24"/>
              </w:rPr>
              <w:t xml:space="preserve">set and ensure maintenance of a framework of delegation and internal controls; </w:t>
            </w:r>
          </w:p>
          <w:p w14:paraId="14137193" w14:textId="77777777" w:rsidR="0072043A" w:rsidRPr="00A0678A" w:rsidRDefault="0072043A" w:rsidP="00A0678A">
            <w:pPr>
              <w:spacing w:line="276" w:lineRule="auto"/>
              <w:ind w:right="120"/>
              <w:contextualSpacing/>
              <w:rPr>
                <w:rFonts w:eastAsia="Times New Roman" w:cstheme="minorHAnsi"/>
                <w:sz w:val="24"/>
                <w:szCs w:val="24"/>
              </w:rPr>
            </w:pPr>
          </w:p>
          <w:p w14:paraId="48F8DE95" w14:textId="77777777" w:rsidR="0072043A" w:rsidRPr="00A0678A" w:rsidRDefault="0072043A" w:rsidP="00A0678A">
            <w:pPr>
              <w:pStyle w:val="ListParagraph"/>
              <w:numPr>
                <w:ilvl w:val="0"/>
                <w:numId w:val="5"/>
              </w:numPr>
              <w:spacing w:line="276" w:lineRule="auto"/>
              <w:ind w:right="120"/>
              <w:rPr>
                <w:rFonts w:eastAsia="Times New Roman" w:cstheme="minorHAnsi"/>
                <w:sz w:val="24"/>
                <w:szCs w:val="24"/>
              </w:rPr>
            </w:pPr>
            <w:r w:rsidRPr="00A0678A">
              <w:rPr>
                <w:rFonts w:eastAsia="Times New Roman" w:cstheme="minorHAnsi"/>
                <w:sz w:val="24"/>
                <w:szCs w:val="24"/>
              </w:rPr>
              <w:t>agree operational and governance policy and procedures for A Way Out and monitor the implementation of these;</w:t>
            </w:r>
          </w:p>
          <w:p w14:paraId="0E7FCD3A" w14:textId="77777777" w:rsidR="0072043A" w:rsidRPr="00A0678A" w:rsidRDefault="0072043A" w:rsidP="00A0678A">
            <w:pPr>
              <w:spacing w:line="276" w:lineRule="auto"/>
              <w:ind w:right="120"/>
              <w:contextualSpacing/>
              <w:rPr>
                <w:rFonts w:eastAsia="Times New Roman" w:cstheme="minorHAnsi"/>
                <w:sz w:val="24"/>
                <w:szCs w:val="24"/>
              </w:rPr>
            </w:pPr>
          </w:p>
          <w:p w14:paraId="57F0EE67" w14:textId="77777777" w:rsidR="0072043A" w:rsidRPr="00A0678A" w:rsidRDefault="0072043A" w:rsidP="00A0678A">
            <w:pPr>
              <w:pStyle w:val="ListParagraph"/>
              <w:numPr>
                <w:ilvl w:val="0"/>
                <w:numId w:val="5"/>
              </w:numPr>
              <w:spacing w:line="276" w:lineRule="auto"/>
              <w:ind w:right="120"/>
              <w:rPr>
                <w:rFonts w:eastAsia="Times New Roman" w:cstheme="minorHAnsi"/>
                <w:sz w:val="24"/>
                <w:szCs w:val="24"/>
              </w:rPr>
            </w:pPr>
            <w:r w:rsidRPr="00A0678A">
              <w:rPr>
                <w:rFonts w:eastAsia="Times New Roman" w:cstheme="minorHAnsi"/>
                <w:sz w:val="24"/>
                <w:szCs w:val="24"/>
              </w:rPr>
              <w:t>develop, agree and monitor the delivery of a strategic plan to achieve the overall charitable objectives, including a financial plan, for the achievement of the overall charitable and business objectives;</w:t>
            </w:r>
          </w:p>
          <w:p w14:paraId="50F6D86F" w14:textId="77777777" w:rsidR="0072043A" w:rsidRPr="00A0678A" w:rsidRDefault="0072043A" w:rsidP="00A0678A">
            <w:pPr>
              <w:spacing w:line="276" w:lineRule="auto"/>
              <w:ind w:right="120"/>
              <w:contextualSpacing/>
              <w:rPr>
                <w:rFonts w:eastAsia="Times New Roman" w:cstheme="minorHAnsi"/>
                <w:sz w:val="24"/>
                <w:szCs w:val="24"/>
              </w:rPr>
            </w:pPr>
          </w:p>
          <w:p w14:paraId="28D9ED32" w14:textId="77777777" w:rsidR="0072043A" w:rsidRPr="00A0678A" w:rsidRDefault="0072043A" w:rsidP="00A0678A">
            <w:pPr>
              <w:pStyle w:val="ListParagraph"/>
              <w:numPr>
                <w:ilvl w:val="0"/>
                <w:numId w:val="5"/>
              </w:numPr>
              <w:spacing w:line="276" w:lineRule="auto"/>
              <w:ind w:right="120"/>
              <w:rPr>
                <w:rFonts w:eastAsia="Times New Roman" w:cstheme="minorHAnsi"/>
                <w:sz w:val="24"/>
                <w:szCs w:val="24"/>
              </w:rPr>
            </w:pPr>
            <w:r w:rsidRPr="00A0678A">
              <w:rPr>
                <w:rFonts w:eastAsia="Times New Roman" w:cstheme="minorHAnsi"/>
                <w:sz w:val="24"/>
                <w:szCs w:val="24"/>
              </w:rPr>
              <w:t>receive, scrutinise and analyse regular financial reports and progress information provided by the CEO, accountant, auditor or sub-committees of the Board;</w:t>
            </w:r>
          </w:p>
          <w:p w14:paraId="4B6D6CF5" w14:textId="77777777" w:rsidR="0072043A" w:rsidRPr="00A0678A" w:rsidRDefault="0072043A" w:rsidP="00A0678A">
            <w:pPr>
              <w:spacing w:line="276" w:lineRule="auto"/>
              <w:ind w:right="120"/>
              <w:contextualSpacing/>
              <w:rPr>
                <w:rFonts w:eastAsia="Times New Roman" w:cstheme="minorHAnsi"/>
                <w:sz w:val="24"/>
                <w:szCs w:val="24"/>
              </w:rPr>
            </w:pPr>
          </w:p>
          <w:p w14:paraId="3FF9CC05" w14:textId="77777777" w:rsidR="0072043A" w:rsidRPr="00A0678A" w:rsidRDefault="0072043A" w:rsidP="00A0678A">
            <w:pPr>
              <w:pStyle w:val="ListParagraph"/>
              <w:numPr>
                <w:ilvl w:val="0"/>
                <w:numId w:val="5"/>
              </w:numPr>
              <w:spacing w:line="276" w:lineRule="auto"/>
              <w:ind w:right="120"/>
              <w:rPr>
                <w:rFonts w:eastAsia="Times New Roman" w:cstheme="minorHAnsi"/>
                <w:sz w:val="24"/>
                <w:szCs w:val="24"/>
              </w:rPr>
            </w:pPr>
            <w:r w:rsidRPr="00A0678A">
              <w:rPr>
                <w:rFonts w:eastAsia="Times New Roman" w:cstheme="minorHAnsi"/>
                <w:sz w:val="24"/>
                <w:szCs w:val="24"/>
              </w:rPr>
              <w:t>promote the interests of A Way Out within a wider network.</w:t>
            </w:r>
          </w:p>
          <w:p w14:paraId="6D14AD90" w14:textId="77777777" w:rsidR="0072043A" w:rsidRPr="00A0678A" w:rsidRDefault="0072043A" w:rsidP="00A0678A">
            <w:pPr>
              <w:spacing w:line="276" w:lineRule="auto"/>
              <w:ind w:right="120"/>
              <w:contextualSpacing/>
              <w:rPr>
                <w:rFonts w:eastAsia="Times New Roman" w:cstheme="minorHAnsi"/>
                <w:sz w:val="24"/>
                <w:szCs w:val="24"/>
              </w:rPr>
            </w:pPr>
          </w:p>
        </w:tc>
      </w:tr>
    </w:tbl>
    <w:p w14:paraId="0FD789BE" w14:textId="77777777" w:rsidR="00B55374" w:rsidRPr="00A0678A" w:rsidRDefault="00B55374" w:rsidP="00A0678A">
      <w:pPr>
        <w:widowControl w:val="0"/>
        <w:tabs>
          <w:tab w:val="left" w:pos="-1440"/>
        </w:tabs>
        <w:spacing w:after="0"/>
        <w:ind w:right="120"/>
        <w:rPr>
          <w:rFonts w:eastAsia="Times New Roman" w:cstheme="minorHAnsi"/>
          <w:sz w:val="24"/>
          <w:szCs w:val="24"/>
        </w:rPr>
      </w:pPr>
    </w:p>
    <w:p w14:paraId="5ACBF1B9" w14:textId="77777777" w:rsidR="00D26AD8" w:rsidRPr="00A0678A" w:rsidRDefault="00D26AD8" w:rsidP="00A0678A">
      <w:pPr>
        <w:pStyle w:val="ListParagraph"/>
        <w:widowControl w:val="0"/>
        <w:numPr>
          <w:ilvl w:val="0"/>
          <w:numId w:val="8"/>
        </w:numPr>
        <w:tabs>
          <w:tab w:val="left" w:pos="-1440"/>
        </w:tabs>
        <w:spacing w:after="0"/>
        <w:ind w:right="120"/>
        <w:rPr>
          <w:rFonts w:eastAsia="Calibri" w:cstheme="minorHAnsi"/>
          <w:sz w:val="24"/>
          <w:szCs w:val="24"/>
        </w:rPr>
      </w:pPr>
      <w:r w:rsidRPr="00A0678A">
        <w:rPr>
          <w:rFonts w:eastAsia="Calibri" w:cstheme="minorHAnsi"/>
          <w:sz w:val="24"/>
          <w:szCs w:val="24"/>
        </w:rPr>
        <w:t>The Trustees will appoint the Chairperson using the agreed job description and person specification for that appointment.</w:t>
      </w:r>
    </w:p>
    <w:p w14:paraId="5D052CC8" w14:textId="77777777" w:rsidR="00D26AD8" w:rsidRPr="00A0678A" w:rsidRDefault="00D26AD8" w:rsidP="00A0678A">
      <w:pPr>
        <w:widowControl w:val="0"/>
        <w:tabs>
          <w:tab w:val="left" w:pos="-1440"/>
        </w:tabs>
        <w:spacing w:after="0"/>
        <w:ind w:left="-284" w:right="120"/>
        <w:contextualSpacing/>
        <w:rPr>
          <w:rFonts w:eastAsia="Calibri" w:cstheme="minorHAnsi"/>
          <w:sz w:val="24"/>
          <w:szCs w:val="24"/>
        </w:rPr>
      </w:pPr>
    </w:p>
    <w:p w14:paraId="2A93E80C" w14:textId="77777777" w:rsidR="00D26AD8" w:rsidRPr="00A0678A" w:rsidRDefault="00D26AD8" w:rsidP="00A0678A">
      <w:pPr>
        <w:pStyle w:val="ListParagraph"/>
        <w:widowControl w:val="0"/>
        <w:numPr>
          <w:ilvl w:val="0"/>
          <w:numId w:val="8"/>
        </w:numPr>
        <w:tabs>
          <w:tab w:val="left" w:pos="-1440"/>
        </w:tabs>
        <w:spacing w:after="0"/>
        <w:ind w:right="120"/>
        <w:rPr>
          <w:rFonts w:eastAsia="Calibri" w:cstheme="minorHAnsi"/>
          <w:sz w:val="24"/>
          <w:szCs w:val="24"/>
        </w:rPr>
      </w:pPr>
      <w:r w:rsidRPr="00A0678A">
        <w:rPr>
          <w:rFonts w:eastAsia="Calibri" w:cstheme="minorHAnsi"/>
          <w:sz w:val="24"/>
          <w:szCs w:val="24"/>
          <w:lang w:val="en-US"/>
        </w:rPr>
        <w:t xml:space="preserve">A Way Out </w:t>
      </w:r>
      <w:r w:rsidRPr="00A0678A">
        <w:rPr>
          <w:rFonts w:eastAsia="Calibri" w:cstheme="minorHAnsi"/>
          <w:sz w:val="24"/>
          <w:szCs w:val="24"/>
        </w:rPr>
        <w:t>requires that all Trustees should attend meetings of the Board and sub-committees on a regular basis and should ensure that notice and apologies are given if they are unable to attend for any reason whatsoever.</w:t>
      </w:r>
    </w:p>
    <w:p w14:paraId="0739E3B6" w14:textId="77777777" w:rsidR="00D26AD8" w:rsidRPr="00A0678A" w:rsidRDefault="00D26AD8" w:rsidP="00A0678A">
      <w:pPr>
        <w:widowControl w:val="0"/>
        <w:tabs>
          <w:tab w:val="left" w:pos="-1440"/>
        </w:tabs>
        <w:spacing w:after="0"/>
        <w:ind w:left="-284" w:right="120"/>
        <w:contextualSpacing/>
        <w:rPr>
          <w:rFonts w:eastAsia="Calibri" w:cstheme="minorHAnsi"/>
          <w:sz w:val="24"/>
          <w:szCs w:val="24"/>
        </w:rPr>
      </w:pPr>
    </w:p>
    <w:p w14:paraId="52E17E4E" w14:textId="77777777" w:rsidR="00D26AD8" w:rsidRPr="00A0678A" w:rsidRDefault="00D26AD8" w:rsidP="00A0678A">
      <w:pPr>
        <w:pStyle w:val="ListParagraph"/>
        <w:widowControl w:val="0"/>
        <w:numPr>
          <w:ilvl w:val="0"/>
          <w:numId w:val="8"/>
        </w:numPr>
        <w:tabs>
          <w:tab w:val="left" w:pos="-1440"/>
        </w:tabs>
        <w:spacing w:after="0"/>
        <w:ind w:right="120"/>
        <w:rPr>
          <w:rFonts w:eastAsia="Calibri" w:cstheme="minorHAnsi"/>
          <w:sz w:val="24"/>
          <w:szCs w:val="24"/>
        </w:rPr>
      </w:pPr>
      <w:r w:rsidRPr="00A0678A">
        <w:rPr>
          <w:rFonts w:eastAsia="Calibri" w:cstheme="minorHAnsi"/>
          <w:sz w:val="24"/>
          <w:szCs w:val="24"/>
        </w:rPr>
        <w:lastRenderedPageBreak/>
        <w:t>Trustees who fail to attend three meetings within one financial year may be asked to resign.</w:t>
      </w:r>
    </w:p>
    <w:p w14:paraId="2FB7513A" w14:textId="77777777" w:rsidR="00D26AD8" w:rsidRPr="00A0678A" w:rsidRDefault="00D26AD8" w:rsidP="00A0678A">
      <w:pPr>
        <w:spacing w:after="0"/>
        <w:ind w:left="-284" w:right="120"/>
        <w:contextualSpacing/>
        <w:rPr>
          <w:rFonts w:eastAsia="Times New Roman" w:cstheme="minorHAnsi"/>
          <w:b/>
          <w:bCs/>
          <w:color w:val="C00000"/>
          <w:sz w:val="24"/>
          <w:szCs w:val="24"/>
        </w:rPr>
      </w:pPr>
    </w:p>
    <w:p w14:paraId="26B3DE36" w14:textId="77777777" w:rsidR="00D26AD8" w:rsidRPr="00A0678A" w:rsidRDefault="00D26AD8" w:rsidP="00A0678A">
      <w:pPr>
        <w:pStyle w:val="ListParagraph"/>
        <w:widowControl w:val="0"/>
        <w:numPr>
          <w:ilvl w:val="0"/>
          <w:numId w:val="8"/>
        </w:numPr>
        <w:tabs>
          <w:tab w:val="left" w:pos="-1440"/>
        </w:tabs>
        <w:spacing w:after="0"/>
        <w:ind w:right="120"/>
        <w:rPr>
          <w:rFonts w:eastAsia="Calibri" w:cstheme="minorHAnsi"/>
          <w:sz w:val="24"/>
          <w:szCs w:val="24"/>
        </w:rPr>
      </w:pPr>
      <w:r w:rsidRPr="00A0678A">
        <w:rPr>
          <w:rFonts w:eastAsia="Calibri" w:cstheme="minorHAnsi"/>
          <w:sz w:val="24"/>
          <w:szCs w:val="24"/>
        </w:rPr>
        <w:t>When appointing new Trustees, serious consideration will be given to the skills, knowledge and experience that will be brought to the Board of Trustees and appointments will be made against any gaps identified by the Board.</w:t>
      </w:r>
    </w:p>
    <w:p w14:paraId="5D6083AC" w14:textId="77777777" w:rsidR="00D26AD8" w:rsidRPr="00A0678A" w:rsidRDefault="00D26AD8" w:rsidP="00A0678A">
      <w:pPr>
        <w:widowControl w:val="0"/>
        <w:tabs>
          <w:tab w:val="left" w:pos="-1440"/>
        </w:tabs>
        <w:spacing w:after="0"/>
        <w:ind w:left="-284" w:right="120"/>
        <w:contextualSpacing/>
        <w:rPr>
          <w:rFonts w:eastAsia="Calibri" w:cstheme="minorHAnsi"/>
          <w:sz w:val="24"/>
          <w:szCs w:val="24"/>
        </w:rPr>
      </w:pPr>
    </w:p>
    <w:p w14:paraId="5AA85751" w14:textId="77777777" w:rsidR="00D26AD8" w:rsidRPr="00A0678A" w:rsidRDefault="00D26AD8" w:rsidP="00A0678A">
      <w:pPr>
        <w:pStyle w:val="ListParagraph"/>
        <w:numPr>
          <w:ilvl w:val="0"/>
          <w:numId w:val="8"/>
        </w:numPr>
        <w:spacing w:after="0"/>
        <w:ind w:right="120"/>
        <w:rPr>
          <w:rFonts w:eastAsia="Times New Roman" w:cstheme="minorHAnsi"/>
          <w:sz w:val="24"/>
          <w:szCs w:val="24"/>
        </w:rPr>
      </w:pPr>
      <w:r w:rsidRPr="00A0678A">
        <w:rPr>
          <w:rFonts w:eastAsia="Times New Roman" w:cstheme="minorHAnsi"/>
          <w:sz w:val="24"/>
          <w:szCs w:val="24"/>
        </w:rPr>
        <w:t>It is essential that Trustees understand the governance and management processes and can carry out their role both diligently and efficiently without becoming either a barrier to progress or over-stepping their responsibilities.</w:t>
      </w:r>
    </w:p>
    <w:p w14:paraId="072AA59B" w14:textId="77777777" w:rsidR="00D26AD8" w:rsidRPr="00A0678A" w:rsidRDefault="00D26AD8" w:rsidP="00A0678A">
      <w:pPr>
        <w:spacing w:after="0"/>
        <w:ind w:left="-284" w:right="120"/>
        <w:contextualSpacing/>
        <w:rPr>
          <w:rFonts w:eastAsia="Times New Roman" w:cstheme="minorHAnsi"/>
          <w:sz w:val="24"/>
          <w:szCs w:val="24"/>
        </w:rPr>
      </w:pPr>
    </w:p>
    <w:p w14:paraId="0A1FE35C" w14:textId="77777777" w:rsidR="00D26AD8" w:rsidRPr="00A0678A" w:rsidRDefault="00D26AD8" w:rsidP="00A0678A">
      <w:pPr>
        <w:pStyle w:val="ListParagraph"/>
        <w:numPr>
          <w:ilvl w:val="0"/>
          <w:numId w:val="7"/>
        </w:numPr>
        <w:spacing w:after="0"/>
        <w:ind w:right="120"/>
        <w:rPr>
          <w:rFonts w:eastAsia="Times New Roman" w:cstheme="minorHAnsi"/>
          <w:color w:val="92D050"/>
          <w:sz w:val="24"/>
          <w:szCs w:val="24"/>
        </w:rPr>
      </w:pPr>
      <w:r w:rsidRPr="00A0678A">
        <w:rPr>
          <w:rFonts w:eastAsia="Times New Roman" w:cstheme="minorHAnsi"/>
          <w:b/>
          <w:bCs/>
          <w:color w:val="92D050"/>
          <w:sz w:val="24"/>
          <w:szCs w:val="24"/>
        </w:rPr>
        <w:t>Trustee</w:t>
      </w:r>
      <w:r w:rsidR="0072043A" w:rsidRPr="00A0678A">
        <w:rPr>
          <w:rFonts w:eastAsia="Times New Roman" w:cstheme="minorHAnsi"/>
          <w:b/>
          <w:bCs/>
          <w:color w:val="92D050"/>
          <w:sz w:val="24"/>
          <w:szCs w:val="24"/>
        </w:rPr>
        <w:t xml:space="preserve"> Profile:</w:t>
      </w:r>
    </w:p>
    <w:p w14:paraId="0461EECE" w14:textId="77777777" w:rsidR="00D26AD8" w:rsidRPr="00A0678A" w:rsidRDefault="00D26AD8" w:rsidP="00A0678A">
      <w:pPr>
        <w:spacing w:after="0"/>
        <w:ind w:left="-284"/>
        <w:contextualSpacing/>
        <w:rPr>
          <w:rFonts w:eastAsia="Times New Roman" w:cstheme="minorHAnsi"/>
          <w:sz w:val="24"/>
          <w:szCs w:val="24"/>
        </w:rPr>
      </w:pPr>
      <w:r w:rsidRPr="00A0678A">
        <w:rPr>
          <w:rFonts w:eastAsia="Times New Roman" w:cstheme="minorHAnsi"/>
          <w:sz w:val="24"/>
          <w:szCs w:val="24"/>
        </w:rPr>
        <w:t xml:space="preserve">In appointing new Trustees the Board of Trustees will be mindful of the following: </w:t>
      </w:r>
    </w:p>
    <w:p w14:paraId="3C131905" w14:textId="77777777" w:rsidR="00D26AD8" w:rsidRPr="00A0678A" w:rsidRDefault="00D26AD8" w:rsidP="00A0678A">
      <w:pPr>
        <w:widowControl w:val="0"/>
        <w:tabs>
          <w:tab w:val="left" w:pos="-1440"/>
        </w:tabs>
        <w:spacing w:after="0"/>
        <w:ind w:left="-284"/>
        <w:contextualSpacing/>
        <w:rPr>
          <w:rFonts w:eastAsia="Calibri" w:cstheme="minorHAnsi"/>
          <w:sz w:val="24"/>
          <w:szCs w:val="24"/>
        </w:rPr>
      </w:pPr>
    </w:p>
    <w:p w14:paraId="43B3B9E5" w14:textId="77777777" w:rsidR="00D26AD8" w:rsidRPr="00A0678A" w:rsidRDefault="00D26AD8" w:rsidP="00A0678A">
      <w:pPr>
        <w:pStyle w:val="ListParagraph"/>
        <w:widowControl w:val="0"/>
        <w:numPr>
          <w:ilvl w:val="0"/>
          <w:numId w:val="9"/>
        </w:numPr>
        <w:tabs>
          <w:tab w:val="left" w:pos="-1440"/>
        </w:tabs>
        <w:spacing w:after="0"/>
        <w:rPr>
          <w:rFonts w:eastAsia="Calibri" w:cstheme="minorHAnsi"/>
          <w:sz w:val="24"/>
          <w:szCs w:val="24"/>
        </w:rPr>
      </w:pPr>
      <w:r w:rsidRPr="00A0678A">
        <w:rPr>
          <w:rFonts w:eastAsia="Calibri" w:cstheme="minorHAnsi"/>
          <w:sz w:val="24"/>
          <w:szCs w:val="24"/>
        </w:rPr>
        <w:t>Trustees will endeavour to ensure that a range and mix of skills are represented at Board level along with a range of lived experience and that this will be taken into account when appointing new Trustees.  Account will be taken of any gaps in skills and experience at Board level and this will guide the appointment process.</w:t>
      </w:r>
    </w:p>
    <w:p w14:paraId="60EF614D" w14:textId="77777777" w:rsidR="00D26AD8" w:rsidRPr="00A0678A" w:rsidRDefault="00D26AD8" w:rsidP="00A0678A">
      <w:pPr>
        <w:widowControl w:val="0"/>
        <w:tabs>
          <w:tab w:val="left" w:pos="-1440"/>
        </w:tabs>
        <w:spacing w:after="0"/>
        <w:ind w:left="-284"/>
        <w:contextualSpacing/>
        <w:rPr>
          <w:rFonts w:eastAsia="Calibri" w:cstheme="minorHAnsi"/>
          <w:sz w:val="24"/>
          <w:szCs w:val="24"/>
        </w:rPr>
      </w:pPr>
    </w:p>
    <w:p w14:paraId="5A74C261" w14:textId="77777777" w:rsidR="00D26AD8" w:rsidRPr="00A0678A" w:rsidRDefault="00D26AD8" w:rsidP="00A0678A">
      <w:pPr>
        <w:pStyle w:val="ListParagraph"/>
        <w:widowControl w:val="0"/>
        <w:numPr>
          <w:ilvl w:val="0"/>
          <w:numId w:val="9"/>
        </w:numPr>
        <w:tabs>
          <w:tab w:val="left" w:pos="-1440"/>
        </w:tabs>
        <w:spacing w:after="0"/>
        <w:rPr>
          <w:rFonts w:eastAsia="Calibri" w:cstheme="minorHAnsi"/>
          <w:sz w:val="24"/>
          <w:szCs w:val="24"/>
        </w:rPr>
      </w:pPr>
      <w:r w:rsidRPr="00A0678A">
        <w:rPr>
          <w:rFonts w:eastAsia="Calibri" w:cstheme="minorHAnsi"/>
          <w:sz w:val="24"/>
          <w:szCs w:val="24"/>
        </w:rPr>
        <w:t xml:space="preserve">The skills and experience mix at Board level will be guided by: </w:t>
      </w:r>
    </w:p>
    <w:p w14:paraId="4C51E34C" w14:textId="77777777" w:rsidR="00D26AD8" w:rsidRPr="00A0678A" w:rsidRDefault="00D26AD8" w:rsidP="00A0678A">
      <w:pPr>
        <w:widowControl w:val="0"/>
        <w:tabs>
          <w:tab w:val="left" w:pos="-1440"/>
        </w:tabs>
        <w:spacing w:after="0"/>
        <w:ind w:left="-284"/>
        <w:contextualSpacing/>
        <w:rPr>
          <w:rFonts w:eastAsia="Calibri" w:cstheme="minorHAnsi"/>
          <w:sz w:val="24"/>
          <w:szCs w:val="24"/>
        </w:rPr>
      </w:pPr>
    </w:p>
    <w:p w14:paraId="7C89AF33" w14:textId="77777777" w:rsidR="00D26AD8" w:rsidRPr="00A0678A" w:rsidRDefault="00D26AD8" w:rsidP="00A0678A">
      <w:pPr>
        <w:widowControl w:val="0"/>
        <w:numPr>
          <w:ilvl w:val="0"/>
          <w:numId w:val="3"/>
        </w:numPr>
        <w:tabs>
          <w:tab w:val="left" w:pos="-1440"/>
        </w:tabs>
        <w:spacing w:after="0"/>
        <w:ind w:left="-284" w:firstLine="0"/>
        <w:contextualSpacing/>
        <w:rPr>
          <w:rFonts w:eastAsia="Calibri" w:cstheme="minorHAnsi"/>
          <w:sz w:val="24"/>
          <w:szCs w:val="24"/>
        </w:rPr>
      </w:pPr>
      <w:r w:rsidRPr="00A0678A">
        <w:rPr>
          <w:rFonts w:eastAsia="Calibri" w:cstheme="minorHAnsi"/>
          <w:sz w:val="24"/>
          <w:szCs w:val="24"/>
        </w:rPr>
        <w:t>Skills and experience of working with or within issues of the Health Sector</w:t>
      </w:r>
    </w:p>
    <w:p w14:paraId="49133A80" w14:textId="77777777" w:rsidR="00D26AD8" w:rsidRPr="00A0678A" w:rsidRDefault="00D26AD8" w:rsidP="00A0678A">
      <w:pPr>
        <w:widowControl w:val="0"/>
        <w:numPr>
          <w:ilvl w:val="0"/>
          <w:numId w:val="4"/>
        </w:numPr>
        <w:tabs>
          <w:tab w:val="left" w:pos="-1440"/>
        </w:tabs>
        <w:spacing w:after="0"/>
        <w:ind w:left="-284" w:firstLine="0"/>
        <w:contextualSpacing/>
        <w:rPr>
          <w:rFonts w:eastAsia="Calibri" w:cstheme="minorHAnsi"/>
          <w:sz w:val="24"/>
          <w:szCs w:val="24"/>
        </w:rPr>
      </w:pPr>
      <w:r w:rsidRPr="00A0678A">
        <w:rPr>
          <w:rFonts w:eastAsia="Calibri" w:cstheme="minorHAnsi"/>
          <w:sz w:val="24"/>
          <w:szCs w:val="24"/>
        </w:rPr>
        <w:t xml:space="preserve">Experience of working in the voluntary sector </w:t>
      </w:r>
    </w:p>
    <w:p w14:paraId="01B82DD3" w14:textId="77777777" w:rsidR="00D26AD8" w:rsidRPr="00A0678A" w:rsidRDefault="00D26AD8" w:rsidP="00A0678A">
      <w:pPr>
        <w:widowControl w:val="0"/>
        <w:numPr>
          <w:ilvl w:val="0"/>
          <w:numId w:val="4"/>
        </w:numPr>
        <w:tabs>
          <w:tab w:val="left" w:pos="-1440"/>
        </w:tabs>
        <w:spacing w:after="0"/>
        <w:ind w:left="-284" w:firstLine="0"/>
        <w:contextualSpacing/>
        <w:rPr>
          <w:rFonts w:eastAsia="Calibri" w:cstheme="minorHAnsi"/>
          <w:sz w:val="24"/>
          <w:szCs w:val="24"/>
        </w:rPr>
      </w:pPr>
      <w:r w:rsidRPr="00A0678A">
        <w:rPr>
          <w:rFonts w:eastAsia="Calibri" w:cstheme="minorHAnsi"/>
          <w:sz w:val="24"/>
          <w:szCs w:val="24"/>
        </w:rPr>
        <w:t>Finance and accounting</w:t>
      </w:r>
    </w:p>
    <w:p w14:paraId="11C2ABA8" w14:textId="77777777" w:rsidR="00D26AD8" w:rsidRPr="00A0678A" w:rsidRDefault="00D26AD8" w:rsidP="00A0678A">
      <w:pPr>
        <w:widowControl w:val="0"/>
        <w:numPr>
          <w:ilvl w:val="0"/>
          <w:numId w:val="4"/>
        </w:numPr>
        <w:tabs>
          <w:tab w:val="left" w:pos="-1440"/>
        </w:tabs>
        <w:spacing w:after="0"/>
        <w:ind w:left="-284" w:firstLine="0"/>
        <w:contextualSpacing/>
        <w:rPr>
          <w:rFonts w:eastAsia="Calibri" w:cstheme="minorHAnsi"/>
          <w:sz w:val="24"/>
          <w:szCs w:val="24"/>
        </w:rPr>
      </w:pPr>
      <w:r w:rsidRPr="00A0678A">
        <w:rPr>
          <w:rFonts w:eastAsia="Calibri" w:cstheme="minorHAnsi"/>
          <w:sz w:val="24"/>
          <w:szCs w:val="24"/>
        </w:rPr>
        <w:t>Commercial business management and development</w:t>
      </w:r>
    </w:p>
    <w:p w14:paraId="744001C1" w14:textId="77777777" w:rsidR="00D26AD8" w:rsidRPr="00A0678A" w:rsidRDefault="00D26AD8" w:rsidP="00A0678A">
      <w:pPr>
        <w:widowControl w:val="0"/>
        <w:numPr>
          <w:ilvl w:val="0"/>
          <w:numId w:val="4"/>
        </w:numPr>
        <w:tabs>
          <w:tab w:val="left" w:pos="-1440"/>
        </w:tabs>
        <w:spacing w:after="0"/>
        <w:ind w:left="-284" w:firstLine="0"/>
        <w:contextualSpacing/>
        <w:rPr>
          <w:rFonts w:eastAsia="Calibri" w:cstheme="minorHAnsi"/>
          <w:sz w:val="24"/>
          <w:szCs w:val="24"/>
        </w:rPr>
      </w:pPr>
      <w:r w:rsidRPr="00A0678A">
        <w:rPr>
          <w:rFonts w:eastAsia="Calibri" w:cstheme="minorHAnsi"/>
          <w:sz w:val="24"/>
          <w:szCs w:val="24"/>
        </w:rPr>
        <w:t>Personnel and HR</w:t>
      </w:r>
    </w:p>
    <w:p w14:paraId="56904305" w14:textId="77777777" w:rsidR="00D26AD8" w:rsidRPr="00A0678A" w:rsidRDefault="00D26AD8" w:rsidP="00A0678A">
      <w:pPr>
        <w:widowControl w:val="0"/>
        <w:numPr>
          <w:ilvl w:val="0"/>
          <w:numId w:val="4"/>
        </w:numPr>
        <w:tabs>
          <w:tab w:val="left" w:pos="-1440"/>
        </w:tabs>
        <w:spacing w:after="0"/>
        <w:ind w:left="-284" w:firstLine="0"/>
        <w:contextualSpacing/>
        <w:rPr>
          <w:rFonts w:eastAsia="Calibri" w:cstheme="minorHAnsi"/>
          <w:sz w:val="24"/>
          <w:szCs w:val="24"/>
        </w:rPr>
      </w:pPr>
      <w:r w:rsidRPr="00A0678A">
        <w:rPr>
          <w:rFonts w:eastAsia="Calibri" w:cstheme="minorHAnsi"/>
          <w:sz w:val="24"/>
          <w:szCs w:val="24"/>
        </w:rPr>
        <w:t>Planning and strategic management</w:t>
      </w:r>
    </w:p>
    <w:p w14:paraId="77680508" w14:textId="77777777" w:rsidR="00D26AD8" w:rsidRPr="00A0678A" w:rsidRDefault="00D26AD8" w:rsidP="00A0678A">
      <w:pPr>
        <w:widowControl w:val="0"/>
        <w:numPr>
          <w:ilvl w:val="0"/>
          <w:numId w:val="4"/>
        </w:numPr>
        <w:tabs>
          <w:tab w:val="left" w:pos="-1440"/>
        </w:tabs>
        <w:spacing w:after="0"/>
        <w:ind w:left="-284" w:firstLine="0"/>
        <w:contextualSpacing/>
        <w:rPr>
          <w:rFonts w:eastAsia="Calibri" w:cstheme="minorHAnsi"/>
          <w:sz w:val="24"/>
          <w:szCs w:val="24"/>
        </w:rPr>
      </w:pPr>
      <w:r w:rsidRPr="00A0678A">
        <w:rPr>
          <w:rFonts w:eastAsia="Calibri" w:cstheme="minorHAnsi"/>
          <w:sz w:val="24"/>
          <w:szCs w:val="24"/>
        </w:rPr>
        <w:t>Social policy and commissioning</w:t>
      </w:r>
    </w:p>
    <w:p w14:paraId="6C960B86" w14:textId="77777777" w:rsidR="00D26AD8" w:rsidRPr="00A0678A" w:rsidRDefault="00D26AD8" w:rsidP="00A0678A">
      <w:pPr>
        <w:widowControl w:val="0"/>
        <w:numPr>
          <w:ilvl w:val="0"/>
          <w:numId w:val="4"/>
        </w:numPr>
        <w:tabs>
          <w:tab w:val="left" w:pos="-1440"/>
        </w:tabs>
        <w:spacing w:after="0"/>
        <w:ind w:left="-284" w:firstLine="0"/>
        <w:contextualSpacing/>
        <w:rPr>
          <w:rFonts w:eastAsia="Calibri" w:cstheme="minorHAnsi"/>
          <w:sz w:val="24"/>
          <w:szCs w:val="24"/>
        </w:rPr>
      </w:pPr>
      <w:r w:rsidRPr="00A0678A">
        <w:rPr>
          <w:rFonts w:eastAsia="Calibri" w:cstheme="minorHAnsi"/>
          <w:sz w:val="24"/>
          <w:szCs w:val="24"/>
        </w:rPr>
        <w:t>Legal and governance</w:t>
      </w:r>
    </w:p>
    <w:p w14:paraId="53450B31" w14:textId="77777777" w:rsidR="00D26AD8" w:rsidRPr="00A0678A" w:rsidRDefault="00D26AD8" w:rsidP="00A0678A">
      <w:pPr>
        <w:widowControl w:val="0"/>
        <w:numPr>
          <w:ilvl w:val="0"/>
          <w:numId w:val="4"/>
        </w:numPr>
        <w:tabs>
          <w:tab w:val="left" w:pos="-1440"/>
        </w:tabs>
        <w:spacing w:after="0"/>
        <w:ind w:left="-284" w:firstLine="0"/>
        <w:contextualSpacing/>
        <w:rPr>
          <w:rFonts w:eastAsia="Calibri" w:cstheme="minorHAnsi"/>
          <w:sz w:val="24"/>
          <w:szCs w:val="24"/>
        </w:rPr>
      </w:pPr>
      <w:r w:rsidRPr="00A0678A">
        <w:rPr>
          <w:rFonts w:eastAsia="Calibri" w:cstheme="minorHAnsi"/>
          <w:sz w:val="24"/>
          <w:szCs w:val="24"/>
        </w:rPr>
        <w:t>Safeguarding</w:t>
      </w:r>
    </w:p>
    <w:p w14:paraId="1ACB25DA" w14:textId="77777777" w:rsidR="00D26AD8" w:rsidRPr="00A0678A" w:rsidRDefault="00D26AD8" w:rsidP="00A0678A">
      <w:pPr>
        <w:spacing w:after="0"/>
        <w:ind w:left="-284"/>
        <w:contextualSpacing/>
        <w:rPr>
          <w:rFonts w:eastAsia="Times New Roman" w:cstheme="minorHAnsi"/>
          <w:sz w:val="24"/>
          <w:szCs w:val="24"/>
        </w:rPr>
      </w:pPr>
    </w:p>
    <w:p w14:paraId="7E77E7DF" w14:textId="77777777" w:rsidR="00D26AD8" w:rsidRPr="00A0678A" w:rsidRDefault="00D26AD8" w:rsidP="00A0678A">
      <w:pPr>
        <w:pStyle w:val="ListParagraph"/>
        <w:numPr>
          <w:ilvl w:val="0"/>
          <w:numId w:val="9"/>
        </w:numPr>
        <w:spacing w:after="0"/>
        <w:rPr>
          <w:rFonts w:eastAsia="Times New Roman" w:cstheme="minorHAnsi"/>
          <w:sz w:val="24"/>
          <w:szCs w:val="24"/>
        </w:rPr>
      </w:pPr>
      <w:r w:rsidRPr="00A0678A">
        <w:rPr>
          <w:rFonts w:eastAsia="Times New Roman" w:cstheme="minorHAnsi"/>
          <w:sz w:val="24"/>
          <w:szCs w:val="24"/>
        </w:rPr>
        <w:t>The Trustees will strive to achieve a diverse Board that will reflect its equality and diversity policy.</w:t>
      </w:r>
    </w:p>
    <w:p w14:paraId="59074162" w14:textId="77777777" w:rsidR="00D26AD8" w:rsidRPr="00A0678A" w:rsidRDefault="00D26AD8" w:rsidP="00A0678A">
      <w:pPr>
        <w:spacing w:after="0"/>
        <w:ind w:left="-284"/>
        <w:contextualSpacing/>
        <w:rPr>
          <w:rFonts w:eastAsia="Times New Roman" w:cstheme="minorHAnsi"/>
          <w:sz w:val="24"/>
          <w:szCs w:val="24"/>
        </w:rPr>
      </w:pPr>
    </w:p>
    <w:p w14:paraId="066431AF" w14:textId="77777777" w:rsidR="00D26AD8" w:rsidRPr="00A0678A" w:rsidRDefault="00D26AD8" w:rsidP="00A0678A">
      <w:pPr>
        <w:pStyle w:val="ListParagraph"/>
        <w:numPr>
          <w:ilvl w:val="0"/>
          <w:numId w:val="9"/>
        </w:numPr>
        <w:spacing w:after="0"/>
        <w:rPr>
          <w:rFonts w:eastAsia="Times New Roman" w:cstheme="minorHAnsi"/>
          <w:sz w:val="24"/>
          <w:szCs w:val="24"/>
        </w:rPr>
      </w:pPr>
      <w:r w:rsidRPr="00A0678A">
        <w:rPr>
          <w:rFonts w:eastAsia="Times New Roman" w:cstheme="minorHAnsi"/>
          <w:sz w:val="24"/>
          <w:szCs w:val="24"/>
        </w:rPr>
        <w:t xml:space="preserve">In addition, it is expected that </w:t>
      </w:r>
      <w:r w:rsidRPr="00A0678A">
        <w:rPr>
          <w:rFonts w:eastAsia="Times New Roman" w:cstheme="minorHAnsi"/>
          <w:b/>
          <w:bCs/>
          <w:sz w:val="24"/>
          <w:szCs w:val="24"/>
        </w:rPr>
        <w:t>all</w:t>
      </w:r>
      <w:r w:rsidRPr="00A0678A">
        <w:rPr>
          <w:rFonts w:eastAsia="Times New Roman" w:cstheme="minorHAnsi"/>
          <w:sz w:val="24"/>
          <w:szCs w:val="24"/>
        </w:rPr>
        <w:t xml:space="preserve"> Trustees will be able to demonstrate:</w:t>
      </w:r>
    </w:p>
    <w:p w14:paraId="4CD2BB53" w14:textId="77777777" w:rsidR="00D26AD8" w:rsidRPr="00A0678A" w:rsidRDefault="00D26AD8" w:rsidP="00A0678A">
      <w:pPr>
        <w:spacing w:after="0"/>
        <w:ind w:left="-284"/>
        <w:contextualSpacing/>
        <w:rPr>
          <w:rFonts w:eastAsia="Times New Roman" w:cstheme="minorHAnsi"/>
          <w:sz w:val="24"/>
          <w:szCs w:val="24"/>
        </w:rPr>
      </w:pPr>
    </w:p>
    <w:p w14:paraId="4B693432" w14:textId="77777777" w:rsidR="00D26AD8" w:rsidRPr="00A0678A" w:rsidRDefault="00D26AD8" w:rsidP="00A0678A">
      <w:pPr>
        <w:widowControl w:val="0"/>
        <w:numPr>
          <w:ilvl w:val="0"/>
          <w:numId w:val="2"/>
        </w:numPr>
        <w:tabs>
          <w:tab w:val="left" w:pos="-1440"/>
        </w:tabs>
        <w:spacing w:after="0"/>
        <w:ind w:left="-284" w:firstLine="0"/>
        <w:contextualSpacing/>
        <w:rPr>
          <w:rFonts w:eastAsia="Calibri" w:cstheme="minorHAnsi"/>
          <w:sz w:val="24"/>
          <w:szCs w:val="24"/>
          <w:lang w:val="en-US"/>
        </w:rPr>
      </w:pPr>
      <w:r w:rsidRPr="00A0678A">
        <w:rPr>
          <w:rFonts w:eastAsia="Calibri" w:cstheme="minorHAnsi"/>
          <w:sz w:val="24"/>
          <w:szCs w:val="24"/>
          <w:lang w:val="en-US"/>
        </w:rPr>
        <w:t>a commitment and enthusiasm for the work of A Way Out;</w:t>
      </w:r>
    </w:p>
    <w:p w14:paraId="1E044239" w14:textId="77777777" w:rsidR="00D26AD8" w:rsidRPr="00A0678A" w:rsidRDefault="00D26AD8" w:rsidP="00A0678A">
      <w:pPr>
        <w:widowControl w:val="0"/>
        <w:numPr>
          <w:ilvl w:val="0"/>
          <w:numId w:val="2"/>
        </w:numPr>
        <w:tabs>
          <w:tab w:val="left" w:pos="-1440"/>
        </w:tabs>
        <w:spacing w:after="0"/>
        <w:ind w:left="-284" w:firstLine="0"/>
        <w:contextualSpacing/>
        <w:rPr>
          <w:rFonts w:eastAsia="Calibri" w:cstheme="minorHAnsi"/>
          <w:sz w:val="24"/>
          <w:szCs w:val="24"/>
        </w:rPr>
      </w:pPr>
      <w:r w:rsidRPr="00A0678A">
        <w:rPr>
          <w:rFonts w:eastAsia="Calibri" w:cstheme="minorHAnsi"/>
          <w:sz w:val="24"/>
          <w:szCs w:val="24"/>
        </w:rPr>
        <w:t>a commitment to equality and diversity;</w:t>
      </w:r>
    </w:p>
    <w:p w14:paraId="246D594E" w14:textId="77777777" w:rsidR="00D26AD8" w:rsidRPr="00A0678A" w:rsidRDefault="00D26AD8" w:rsidP="00A0678A">
      <w:pPr>
        <w:widowControl w:val="0"/>
        <w:numPr>
          <w:ilvl w:val="0"/>
          <w:numId w:val="2"/>
        </w:numPr>
        <w:tabs>
          <w:tab w:val="left" w:pos="-1440"/>
        </w:tabs>
        <w:spacing w:after="0"/>
        <w:ind w:left="-284" w:firstLine="0"/>
        <w:contextualSpacing/>
        <w:rPr>
          <w:rFonts w:eastAsia="Calibri" w:cstheme="minorHAnsi"/>
          <w:sz w:val="24"/>
          <w:szCs w:val="24"/>
        </w:rPr>
      </w:pPr>
      <w:r w:rsidRPr="00A0678A">
        <w:rPr>
          <w:rFonts w:eastAsia="Calibri" w:cstheme="minorHAnsi"/>
          <w:sz w:val="24"/>
          <w:szCs w:val="24"/>
        </w:rPr>
        <w:t xml:space="preserve">a commitment to work in the best interests of </w:t>
      </w:r>
      <w:r w:rsidRPr="00A0678A">
        <w:rPr>
          <w:rFonts w:eastAsia="Calibri" w:cstheme="minorHAnsi"/>
          <w:sz w:val="24"/>
          <w:szCs w:val="24"/>
          <w:lang w:val="en-US"/>
        </w:rPr>
        <w:t>A Way Out</w:t>
      </w:r>
      <w:r w:rsidRPr="00A0678A">
        <w:rPr>
          <w:rFonts w:eastAsia="Calibri" w:cstheme="minorHAnsi"/>
          <w:sz w:val="24"/>
          <w:szCs w:val="24"/>
        </w:rPr>
        <w:t xml:space="preserve"> at all times, to take part in the work of the Charity</w:t>
      </w:r>
      <w:r w:rsidRPr="00A0678A">
        <w:rPr>
          <w:rFonts w:eastAsia="Calibri" w:cstheme="minorHAnsi"/>
          <w:sz w:val="24"/>
          <w:szCs w:val="24"/>
          <w:lang w:val="en-US"/>
        </w:rPr>
        <w:t xml:space="preserve"> </w:t>
      </w:r>
      <w:r w:rsidRPr="00A0678A">
        <w:rPr>
          <w:rFonts w:eastAsia="Calibri" w:cstheme="minorHAnsi"/>
          <w:sz w:val="24"/>
          <w:szCs w:val="24"/>
        </w:rPr>
        <w:t>through involvement in sub-committees and by serving as an officer of the Board as required and agreed;</w:t>
      </w:r>
    </w:p>
    <w:p w14:paraId="1207BB96" w14:textId="77777777" w:rsidR="00D26AD8" w:rsidRPr="00A0678A" w:rsidRDefault="00D26AD8" w:rsidP="00A0678A">
      <w:pPr>
        <w:widowControl w:val="0"/>
        <w:numPr>
          <w:ilvl w:val="0"/>
          <w:numId w:val="2"/>
        </w:numPr>
        <w:tabs>
          <w:tab w:val="left" w:pos="-1440"/>
        </w:tabs>
        <w:spacing w:after="0"/>
        <w:ind w:left="-284" w:firstLine="0"/>
        <w:contextualSpacing/>
        <w:rPr>
          <w:rFonts w:eastAsia="Calibri" w:cstheme="minorHAnsi"/>
          <w:sz w:val="24"/>
          <w:szCs w:val="24"/>
          <w:lang w:val="en-US"/>
        </w:rPr>
      </w:pPr>
      <w:r w:rsidRPr="00A0678A">
        <w:rPr>
          <w:rFonts w:eastAsia="Calibri" w:cstheme="minorHAnsi"/>
          <w:sz w:val="24"/>
          <w:szCs w:val="24"/>
          <w:lang w:val="en-US"/>
        </w:rPr>
        <w:t>a professional approach to the work of the Board and to the development of A Way Out.</w:t>
      </w:r>
    </w:p>
    <w:p w14:paraId="4DB43073" w14:textId="77777777" w:rsidR="00D26AD8" w:rsidRPr="00A0678A" w:rsidRDefault="00D26AD8" w:rsidP="00A0678A">
      <w:pPr>
        <w:widowControl w:val="0"/>
        <w:tabs>
          <w:tab w:val="left" w:pos="-1440"/>
        </w:tabs>
        <w:spacing w:after="0"/>
        <w:ind w:left="-284"/>
        <w:contextualSpacing/>
        <w:rPr>
          <w:rFonts w:eastAsia="Calibri" w:cstheme="minorHAnsi"/>
          <w:sz w:val="24"/>
          <w:szCs w:val="24"/>
        </w:rPr>
      </w:pPr>
    </w:p>
    <w:p w14:paraId="14B38625" w14:textId="77777777" w:rsidR="00D26AD8" w:rsidRPr="00A0678A" w:rsidRDefault="00D26AD8" w:rsidP="00A0678A">
      <w:pPr>
        <w:pStyle w:val="ListParagraph"/>
        <w:widowControl w:val="0"/>
        <w:numPr>
          <w:ilvl w:val="0"/>
          <w:numId w:val="9"/>
        </w:numPr>
        <w:tabs>
          <w:tab w:val="left" w:pos="-1440"/>
        </w:tabs>
        <w:spacing w:after="0"/>
        <w:rPr>
          <w:rFonts w:eastAsia="Calibri" w:cstheme="minorHAnsi"/>
          <w:sz w:val="24"/>
          <w:szCs w:val="24"/>
        </w:rPr>
      </w:pPr>
      <w:r w:rsidRPr="00A0678A">
        <w:rPr>
          <w:rFonts w:eastAsia="Calibri" w:cstheme="minorHAnsi"/>
          <w:sz w:val="24"/>
          <w:szCs w:val="24"/>
        </w:rPr>
        <w:lastRenderedPageBreak/>
        <w:t xml:space="preserve">Trustees will ideally have access to wider networks and will act in an ambassadorial role, representing </w:t>
      </w:r>
      <w:r w:rsidRPr="00A0678A">
        <w:rPr>
          <w:rFonts w:eastAsia="Calibri" w:cstheme="minorHAnsi"/>
          <w:sz w:val="24"/>
          <w:szCs w:val="24"/>
          <w:lang w:val="en-US"/>
        </w:rPr>
        <w:t xml:space="preserve">A Way Out </w:t>
      </w:r>
      <w:r w:rsidRPr="00A0678A">
        <w:rPr>
          <w:rFonts w:eastAsia="Calibri" w:cstheme="minorHAnsi"/>
          <w:sz w:val="24"/>
          <w:szCs w:val="24"/>
        </w:rPr>
        <w:t>into that network.</w:t>
      </w:r>
    </w:p>
    <w:p w14:paraId="462DEF2A" w14:textId="77777777" w:rsidR="00D26AD8" w:rsidRPr="00A0678A" w:rsidRDefault="00D26AD8" w:rsidP="00A0678A">
      <w:pPr>
        <w:spacing w:after="0"/>
        <w:ind w:left="-284"/>
        <w:contextualSpacing/>
        <w:rPr>
          <w:rFonts w:eastAsia="Times New Roman" w:cstheme="minorHAnsi"/>
          <w:b/>
          <w:bCs/>
          <w:color w:val="92D050"/>
          <w:sz w:val="24"/>
          <w:szCs w:val="24"/>
        </w:rPr>
      </w:pPr>
    </w:p>
    <w:p w14:paraId="6B3D0129" w14:textId="77777777" w:rsidR="00D26AD8" w:rsidRPr="00A0678A" w:rsidRDefault="00D26AD8" w:rsidP="00A0678A">
      <w:pPr>
        <w:pStyle w:val="ListParagraph"/>
        <w:numPr>
          <w:ilvl w:val="0"/>
          <w:numId w:val="7"/>
        </w:numPr>
        <w:spacing w:after="0"/>
        <w:rPr>
          <w:rFonts w:eastAsia="Times New Roman" w:cstheme="minorHAnsi"/>
          <w:b/>
          <w:bCs/>
          <w:color w:val="92D050"/>
          <w:sz w:val="24"/>
          <w:szCs w:val="24"/>
        </w:rPr>
      </w:pPr>
      <w:r w:rsidRPr="00A0678A">
        <w:rPr>
          <w:rFonts w:eastAsia="Times New Roman" w:cstheme="minorHAnsi"/>
          <w:b/>
          <w:bCs/>
          <w:color w:val="92D050"/>
          <w:sz w:val="24"/>
          <w:szCs w:val="24"/>
        </w:rPr>
        <w:t>Timescales and Fees</w:t>
      </w:r>
    </w:p>
    <w:p w14:paraId="1E62791C" w14:textId="77777777" w:rsidR="00D26AD8" w:rsidRPr="00A0678A" w:rsidRDefault="00D26AD8" w:rsidP="00A0678A">
      <w:pPr>
        <w:pStyle w:val="ListParagraph"/>
        <w:numPr>
          <w:ilvl w:val="0"/>
          <w:numId w:val="10"/>
        </w:numPr>
        <w:spacing w:after="0"/>
        <w:rPr>
          <w:rFonts w:eastAsia="Times New Roman" w:cstheme="minorHAnsi"/>
          <w:sz w:val="24"/>
          <w:szCs w:val="24"/>
        </w:rPr>
      </w:pPr>
      <w:r w:rsidRPr="00A0678A">
        <w:rPr>
          <w:rFonts w:eastAsia="Times New Roman" w:cstheme="minorHAnsi"/>
          <w:sz w:val="24"/>
          <w:szCs w:val="24"/>
        </w:rPr>
        <w:t xml:space="preserve">It is expected that fulfilling the role of Trustee will require the equivalent of approximately 6 days (12 half days) per year after induction. </w:t>
      </w:r>
    </w:p>
    <w:p w14:paraId="42CCDA59" w14:textId="77777777" w:rsidR="00D26AD8" w:rsidRPr="00A0678A" w:rsidRDefault="00D26AD8" w:rsidP="00A0678A">
      <w:pPr>
        <w:spacing w:after="0"/>
        <w:ind w:left="-284"/>
        <w:contextualSpacing/>
        <w:rPr>
          <w:rFonts w:eastAsia="Times New Roman" w:cstheme="minorHAnsi"/>
          <w:sz w:val="24"/>
          <w:szCs w:val="24"/>
        </w:rPr>
      </w:pPr>
    </w:p>
    <w:p w14:paraId="47E1647E" w14:textId="77777777" w:rsidR="00D26AD8" w:rsidRPr="00A0678A" w:rsidRDefault="00D26AD8" w:rsidP="00A0678A">
      <w:pPr>
        <w:pStyle w:val="ListParagraph"/>
        <w:numPr>
          <w:ilvl w:val="0"/>
          <w:numId w:val="10"/>
        </w:numPr>
        <w:spacing w:after="0"/>
        <w:rPr>
          <w:rFonts w:eastAsia="Times New Roman" w:cstheme="minorHAnsi"/>
          <w:sz w:val="24"/>
          <w:szCs w:val="24"/>
        </w:rPr>
      </w:pPr>
      <w:r w:rsidRPr="00A0678A">
        <w:rPr>
          <w:rFonts w:eastAsia="Times New Roman" w:cstheme="minorHAnsi"/>
          <w:sz w:val="24"/>
          <w:szCs w:val="24"/>
        </w:rPr>
        <w:t>The role of Trustee is voluntary although reasonable out-of-pocket expenses will be reimbursed according to the rates agreed by the Board.</w:t>
      </w:r>
    </w:p>
    <w:p w14:paraId="2CD91FA6" w14:textId="77777777" w:rsidR="00A26988" w:rsidRPr="00D26AD8" w:rsidRDefault="00A26988" w:rsidP="00D26AD8">
      <w:pPr>
        <w:spacing w:line="360" w:lineRule="auto"/>
        <w:ind w:left="-284"/>
        <w:contextualSpacing/>
        <w:rPr>
          <w:rFonts w:ascii="Myriad Pro" w:hAnsi="Myriad Pro"/>
          <w:sz w:val="24"/>
          <w:szCs w:val="24"/>
        </w:rPr>
      </w:pPr>
    </w:p>
    <w:sectPr w:rsidR="00A26988" w:rsidRPr="00D26AD8" w:rsidSect="00D26AD8">
      <w:headerReference w:type="default" r:id="rId8"/>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EBFA3" w14:textId="77777777" w:rsidR="00D26AD8" w:rsidRDefault="00D26AD8" w:rsidP="00D26AD8">
      <w:pPr>
        <w:spacing w:after="0" w:line="240" w:lineRule="auto"/>
      </w:pPr>
      <w:r>
        <w:separator/>
      </w:r>
    </w:p>
  </w:endnote>
  <w:endnote w:type="continuationSeparator" w:id="0">
    <w:p w14:paraId="15F726E7" w14:textId="77777777" w:rsidR="00D26AD8" w:rsidRDefault="00D26AD8" w:rsidP="00D2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83CBF" w14:textId="77777777" w:rsidR="00D26AD8" w:rsidRDefault="00D26AD8" w:rsidP="00D26AD8">
      <w:pPr>
        <w:spacing w:after="0" w:line="240" w:lineRule="auto"/>
      </w:pPr>
      <w:r>
        <w:separator/>
      </w:r>
    </w:p>
  </w:footnote>
  <w:footnote w:type="continuationSeparator" w:id="0">
    <w:p w14:paraId="176641D7" w14:textId="77777777" w:rsidR="00D26AD8" w:rsidRDefault="00D26AD8" w:rsidP="00D26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1208C" w14:textId="77777777" w:rsidR="00270E31" w:rsidRDefault="00270E31">
    <w:pPr>
      <w:pStyle w:val="Header"/>
      <w:rPr>
        <w:noProof/>
        <w:lang w:eastAsia="en-GB"/>
      </w:rPr>
    </w:pPr>
  </w:p>
  <w:p w14:paraId="106A65F1" w14:textId="77777777" w:rsidR="00D26AD8" w:rsidRDefault="00D26AD8">
    <w:pPr>
      <w:pStyle w:val="Header"/>
    </w:pPr>
    <w:r>
      <w:rPr>
        <w:noProof/>
        <w:lang w:eastAsia="en-GB"/>
      </w:rPr>
      <w:drawing>
        <wp:anchor distT="0" distB="0" distL="114300" distR="114300" simplePos="0" relativeHeight="251658240" behindDoc="1" locked="0" layoutInCell="1" allowOverlap="1" wp14:anchorId="5D3CA326" wp14:editId="7A4BDE24">
          <wp:simplePos x="0" y="0"/>
          <wp:positionH relativeFrom="column">
            <wp:posOffset>5267325</wp:posOffset>
          </wp:positionH>
          <wp:positionV relativeFrom="paragraph">
            <wp:posOffset>-268605</wp:posOffset>
          </wp:positionV>
          <wp:extent cx="1006475" cy="371475"/>
          <wp:effectExtent l="0" t="0" r="3175" b="9525"/>
          <wp:wrapTight wrapText="bothSides">
            <wp:wrapPolygon edited="0">
              <wp:start x="0" y="0"/>
              <wp:lineTo x="0" y="21046"/>
              <wp:lineTo x="21259" y="21046"/>
              <wp:lineTo x="212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095"/>
                  <a:stretch/>
                </pic:blipFill>
                <pic:spPr bwMode="auto">
                  <a:xfrm>
                    <a:off x="0" y="0"/>
                    <a:ext cx="1006475" cy="371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7637"/>
    <w:multiLevelType w:val="hybridMultilevel"/>
    <w:tmpl w:val="F4002F5E"/>
    <w:lvl w:ilvl="0" w:tplc="222C4E7A">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107C18B3"/>
    <w:multiLevelType w:val="hybridMultilevel"/>
    <w:tmpl w:val="91DE8F6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DE2074"/>
    <w:multiLevelType w:val="hybridMultilevel"/>
    <w:tmpl w:val="004A9074"/>
    <w:lvl w:ilvl="0" w:tplc="F1421528">
      <w:start w:val="1"/>
      <w:numFmt w:val="lowerLetter"/>
      <w:lvlText w:val="%1."/>
      <w:lvlJc w:val="left"/>
      <w:pPr>
        <w:ind w:left="76" w:hanging="360"/>
      </w:pPr>
      <w:rPr>
        <w:rFonts w:eastAsia="Times New Roman"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 w15:restartNumberingAfterBreak="0">
    <w:nsid w:val="314A1408"/>
    <w:multiLevelType w:val="hybridMultilevel"/>
    <w:tmpl w:val="79540E22"/>
    <w:lvl w:ilvl="0" w:tplc="65889DDC">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 w15:restartNumberingAfterBreak="0">
    <w:nsid w:val="3E017CBC"/>
    <w:multiLevelType w:val="hybridMultilevel"/>
    <w:tmpl w:val="0FBE5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464F2"/>
    <w:multiLevelType w:val="hybridMultilevel"/>
    <w:tmpl w:val="919A43A4"/>
    <w:lvl w:ilvl="0" w:tplc="71867ADA">
      <w:start w:val="1"/>
      <w:numFmt w:val="decimal"/>
      <w:lvlText w:val="%1."/>
      <w:lvlJc w:val="left"/>
      <w:pPr>
        <w:ind w:left="76" w:hanging="360"/>
      </w:pPr>
      <w:rPr>
        <w:rFonts w:hint="default"/>
        <w:b/>
        <w:color w:val="92D05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 w15:restartNumberingAfterBreak="0">
    <w:nsid w:val="42336E64"/>
    <w:multiLevelType w:val="hybridMultilevel"/>
    <w:tmpl w:val="658E6F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7691D"/>
    <w:multiLevelType w:val="hybridMultilevel"/>
    <w:tmpl w:val="698A34AA"/>
    <w:lvl w:ilvl="0" w:tplc="2368C99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8" w15:restartNumberingAfterBreak="0">
    <w:nsid w:val="6BE877EF"/>
    <w:multiLevelType w:val="hybridMultilevel"/>
    <w:tmpl w:val="D83CECC4"/>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2A6C75"/>
    <w:multiLevelType w:val="hybridMultilevel"/>
    <w:tmpl w:val="3E5A93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6"/>
  </w:num>
  <w:num w:numId="6">
    <w:abstractNumId w:val="7"/>
  </w:num>
  <w:num w:numId="7">
    <w:abstractNumId w:val="5"/>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AD8"/>
    <w:rsid w:val="00270E31"/>
    <w:rsid w:val="0072043A"/>
    <w:rsid w:val="009E45F1"/>
    <w:rsid w:val="00A0678A"/>
    <w:rsid w:val="00A26988"/>
    <w:rsid w:val="00B55374"/>
    <w:rsid w:val="00D26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10FF5F"/>
  <w15:docId w15:val="{445529EF-0C69-436D-BBA8-BACA10D1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AD8"/>
  </w:style>
  <w:style w:type="paragraph" w:styleId="Footer">
    <w:name w:val="footer"/>
    <w:basedOn w:val="Normal"/>
    <w:link w:val="FooterChar"/>
    <w:uiPriority w:val="99"/>
    <w:unhideWhenUsed/>
    <w:rsid w:val="00D26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AD8"/>
  </w:style>
  <w:style w:type="paragraph" w:styleId="BalloonText">
    <w:name w:val="Balloon Text"/>
    <w:basedOn w:val="Normal"/>
    <w:link w:val="BalloonTextChar"/>
    <w:uiPriority w:val="99"/>
    <w:semiHidden/>
    <w:unhideWhenUsed/>
    <w:rsid w:val="00D26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AD8"/>
    <w:rPr>
      <w:rFonts w:ascii="Tahoma" w:hAnsi="Tahoma" w:cs="Tahoma"/>
      <w:sz w:val="16"/>
      <w:szCs w:val="16"/>
    </w:rPr>
  </w:style>
  <w:style w:type="table" w:styleId="TableGrid">
    <w:name w:val="Table Grid"/>
    <w:basedOn w:val="TableNormal"/>
    <w:uiPriority w:val="59"/>
    <w:rsid w:val="00720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Burke</dc:creator>
  <cp:lastModifiedBy>Anita Burke</cp:lastModifiedBy>
  <cp:revision>4</cp:revision>
  <dcterms:created xsi:type="dcterms:W3CDTF">2015-10-29T16:44:00Z</dcterms:created>
  <dcterms:modified xsi:type="dcterms:W3CDTF">2020-02-12T15:32:00Z</dcterms:modified>
</cp:coreProperties>
</file>